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F1" w:rsidRPr="009C5A53" w:rsidRDefault="00FD3CF1" w:rsidP="00FD3CF1">
      <w:pPr>
        <w:pStyle w:val="Overskrift1"/>
      </w:pPr>
      <w:r>
        <w:t>Status for</w:t>
      </w:r>
      <w:r w:rsidRPr="009C5A53">
        <w:t xml:space="preserve"> WP3.2-</w:t>
      </w:r>
      <w:r>
        <w:t>søgemaskinen</w:t>
      </w:r>
    </w:p>
    <w:p w:rsidR="00FD3CF1" w:rsidRDefault="00FD3CF1">
      <w:pPr>
        <w:rPr>
          <w:sz w:val="24"/>
          <w:szCs w:val="24"/>
        </w:rPr>
      </w:pPr>
      <w:r w:rsidRPr="009C5A53">
        <w:rPr>
          <w:sz w:val="24"/>
          <w:szCs w:val="24"/>
        </w:rPr>
        <w:t>En del af målet for WP3.2. ”Tool box for the treatment of spoken materials for va</w:t>
      </w:r>
      <w:r>
        <w:rPr>
          <w:sz w:val="24"/>
          <w:szCs w:val="24"/>
        </w:rPr>
        <w:softHyphen/>
      </w:r>
      <w:r w:rsidRPr="009C5A53">
        <w:rPr>
          <w:sz w:val="24"/>
          <w:szCs w:val="24"/>
        </w:rPr>
        <w:t>rious types of research” er at etablere en</w:t>
      </w:r>
      <w:r>
        <w:rPr>
          <w:sz w:val="24"/>
          <w:szCs w:val="24"/>
        </w:rPr>
        <w:t xml:space="preserve"> søgemaskine, der kan søge på tværs af tiers og interviews ud fra et sæt af Praat .TextGrid-filer. </w:t>
      </w:r>
    </w:p>
    <w:p w:rsidR="00FD3CF1" w:rsidRDefault="00FD3CF1">
      <w:pPr>
        <w:rPr>
          <w:sz w:val="24"/>
          <w:szCs w:val="24"/>
        </w:rPr>
      </w:pPr>
      <w:r>
        <w:rPr>
          <w:sz w:val="24"/>
          <w:szCs w:val="24"/>
        </w:rPr>
        <w:t>I samspil med workpackagens anden leverance, konverteringsprogrammer kan søgemaskinens input altså komme fra Transcriber™, CLAN™ og Praat™.</w:t>
      </w:r>
    </w:p>
    <w:p w:rsidR="00FD3CF1" w:rsidRDefault="00FD3CF1">
      <w:pPr>
        <w:rPr>
          <w:sz w:val="24"/>
          <w:szCs w:val="24"/>
        </w:rPr>
      </w:pPr>
      <w:r>
        <w:rPr>
          <w:sz w:val="24"/>
          <w:szCs w:val="24"/>
        </w:rPr>
        <w:t>Øvrige ’spoken language analysis’-formater, f.eks. ELAN, vil kunne tilføjes med endnu et konverteringsværktøj.</w:t>
      </w:r>
    </w:p>
    <w:p w:rsidR="00FD3CF1" w:rsidRDefault="00FD3CF1">
      <w:pPr>
        <w:rPr>
          <w:sz w:val="24"/>
          <w:szCs w:val="24"/>
        </w:rPr>
      </w:pPr>
      <w:r>
        <w:rPr>
          <w:sz w:val="24"/>
          <w:szCs w:val="24"/>
        </w:rPr>
        <w:t>Søgemaskinen er udviklet som en Java Servlet version 2.4 (Java Enterprise Edition 5</w:t>
      </w:r>
      <w:r w:rsidR="00345179">
        <w:rPr>
          <w:sz w:val="24"/>
          <w:szCs w:val="24"/>
        </w:rPr>
        <w:t xml:space="preserve"> biblioteket anvendes</w:t>
      </w:r>
      <w:r>
        <w:rPr>
          <w:sz w:val="24"/>
          <w:szCs w:val="24"/>
        </w:rPr>
        <w:t>) i en såkaldt 3-lags arkitektur, hvor data er adskilt fra hhv. søge og præsentationslogin og kræver en ’Java Servlet Container’ af en art, f.eks. Apache TomCat for at kunne afvikles.</w:t>
      </w:r>
    </w:p>
    <w:p w:rsidR="00FD3CF1" w:rsidRDefault="00FD3CF1">
      <w:pPr>
        <w:rPr>
          <w:sz w:val="24"/>
          <w:szCs w:val="24"/>
        </w:rPr>
      </w:pPr>
      <w:r>
        <w:rPr>
          <w:sz w:val="24"/>
          <w:szCs w:val="24"/>
        </w:rPr>
        <w:t>Brugergrænsefladen er web-baseret og for det meste genereret af Java Server Pages (JSP’er) version 1.2.</w:t>
      </w:r>
    </w:p>
    <w:p w:rsidR="00FD3CF1" w:rsidRDefault="00FD3CF1">
      <w:r>
        <w:rPr>
          <w:sz w:val="24"/>
          <w:szCs w:val="24"/>
        </w:rPr>
        <w:t>Funktionaliteten inkluderer</w:t>
      </w:r>
      <w:r w:rsidR="006C370C">
        <w:rPr>
          <w:sz w:val="24"/>
          <w:szCs w:val="24"/>
        </w:rPr>
        <w:t xml:space="preserve"> </w:t>
      </w:r>
      <w:r>
        <w:rPr>
          <w:sz w:val="24"/>
          <w:szCs w:val="24"/>
        </w:rPr>
        <w:t>et import og vedligehold</w:t>
      </w:r>
      <w:r w:rsidR="006C370C">
        <w:rPr>
          <w:sz w:val="24"/>
          <w:szCs w:val="24"/>
        </w:rPr>
        <w:t>s</w:t>
      </w:r>
      <w:r>
        <w:rPr>
          <w:sz w:val="24"/>
          <w:szCs w:val="24"/>
        </w:rPr>
        <w:t xml:space="preserve">modul til data-delen.  </w:t>
      </w:r>
    </w:p>
    <w:p w:rsidR="00FD3CF1" w:rsidRDefault="00FD3CF1">
      <w:r>
        <w:t xml:space="preserve">Brugergrænsefladen kan ses på næste side </w:t>
      </w:r>
      <w:r w:rsidR="006C370C">
        <w:t xml:space="preserve">(Figur 1) </w:t>
      </w:r>
      <w:r>
        <w:t>og åbner mulighed for</w:t>
      </w:r>
      <w:r w:rsidR="004134C2">
        <w:t xml:space="preserve"> søgning:</w:t>
      </w:r>
    </w:p>
    <w:p w:rsidR="00FD3CF1" w:rsidRDefault="00FD3CF1" w:rsidP="00FD3CF1">
      <w:pPr>
        <w:pStyle w:val="Listeafsnit"/>
        <w:numPr>
          <w:ilvl w:val="0"/>
          <w:numId w:val="1"/>
        </w:numPr>
      </w:pPr>
      <w:r>
        <w:t>i alle, enkelte eller udvalgte sæt af databasens samlede indhold af interviews</w:t>
      </w:r>
      <w:r w:rsidR="004134C2">
        <w:t xml:space="preserve"> </w:t>
      </w:r>
    </w:p>
    <w:p w:rsidR="004134C2" w:rsidRDefault="004134C2" w:rsidP="00FD3CF1">
      <w:pPr>
        <w:pStyle w:val="Listeafsnit"/>
        <w:numPr>
          <w:ilvl w:val="0"/>
          <w:numId w:val="1"/>
        </w:numPr>
      </w:pPr>
      <w:r>
        <w:t xml:space="preserve">på alle, enkelte eller udvalgte sæt af informanter </w:t>
      </w:r>
    </w:p>
    <w:p w:rsidR="00FD3CF1" w:rsidRDefault="00FD3CF1" w:rsidP="00FD3CF1">
      <w:pPr>
        <w:pStyle w:val="Listeafsnit"/>
        <w:numPr>
          <w:ilvl w:val="0"/>
          <w:numId w:val="1"/>
        </w:numPr>
      </w:pPr>
      <w:r>
        <w:t>på hele ord, dele af ord og enhver søgeforespørgsel, der kan formuleres vha. regulære udtryk</w:t>
      </w:r>
    </w:p>
    <w:p w:rsidR="004134C2" w:rsidRDefault="004134C2" w:rsidP="00FD3CF1">
      <w:pPr>
        <w:pStyle w:val="Listeafsnit"/>
        <w:numPr>
          <w:ilvl w:val="0"/>
          <w:numId w:val="1"/>
        </w:numPr>
      </w:pPr>
      <w:r>
        <w:t>på et enkelt søgeudtryk kan kun ske indenfor et valgt tier, men der kan søges efter (andre) forekomster i andre tiers ved at trykke på en Tilføj Tier-knap</w:t>
      </w:r>
    </w:p>
    <w:p w:rsidR="004134C2" w:rsidRDefault="004134C2" w:rsidP="00FD3CF1">
      <w:pPr>
        <w:pStyle w:val="Listeafsnit"/>
        <w:numPr>
          <w:ilvl w:val="0"/>
          <w:numId w:val="1"/>
        </w:numPr>
      </w:pPr>
      <w:r>
        <w:t>Søgning kan også lede efter forekomster der forekommer et tilvalgt antal ’slices’, typisk ordpositioner såfremt Ortografi-tieret er valgt som primært søge-tier før elle efter det primære søgeudtryk – vi kalder dette for ’kontekst søgning’.</w:t>
      </w:r>
    </w:p>
    <w:p w:rsidR="004134C2" w:rsidRDefault="004134C2" w:rsidP="004134C2">
      <w:r>
        <w:t>Der åbnes også mulighed for at vælge forskellige visninger af et potentielt søgeresultat</w:t>
      </w:r>
    </w:p>
    <w:p w:rsidR="006C370C" w:rsidRDefault="004134C2" w:rsidP="004134C2">
      <w:pPr>
        <w:pStyle w:val="Listeafsnit"/>
        <w:numPr>
          <w:ilvl w:val="0"/>
          <w:numId w:val="2"/>
        </w:numPr>
      </w:pPr>
      <w:r>
        <w:t>Enkeltsøgninger kan vises som en simpel liste over, hvilke interviews, der indeholder søgeudtrykket</w:t>
      </w:r>
    </w:p>
    <w:p w:rsidR="006C370C" w:rsidRDefault="004134C2" w:rsidP="004134C2">
      <w:pPr>
        <w:pStyle w:val="Listeafsnit"/>
        <w:numPr>
          <w:ilvl w:val="0"/>
          <w:numId w:val="2"/>
        </w:numPr>
      </w:pPr>
      <w:r>
        <w:t xml:space="preserve">som KWIC-konkordanser ved at vælge et eller flere ’Display’ Tiers </w:t>
      </w:r>
    </w:p>
    <w:p w:rsidR="004134C2" w:rsidRDefault="004134C2" w:rsidP="004134C2">
      <w:pPr>
        <w:pStyle w:val="Listeafsnit"/>
        <w:numPr>
          <w:ilvl w:val="0"/>
          <w:numId w:val="2"/>
        </w:numPr>
      </w:pPr>
      <w:r>
        <w:t xml:space="preserve">og som CSV-filer (der skal downloades først) hvor alle ’slices’, der opfylder søgekriteriet listes sammen med interviewets metadata samt indholdet af alle slices </w:t>
      </w:r>
      <w:r w:rsidR="006C370C">
        <w:t>ved samme position i interviewet.</w:t>
      </w:r>
    </w:p>
    <w:p w:rsidR="004134C2" w:rsidRDefault="006C370C" w:rsidP="004134C2">
      <w:pPr>
        <w:pStyle w:val="Listeafsnit"/>
        <w:numPr>
          <w:ilvl w:val="0"/>
          <w:numId w:val="2"/>
        </w:numPr>
      </w:pPr>
      <w:r>
        <w:t>Ved kontekstsøgninger kan man angive</w:t>
      </w:r>
      <w:r w:rsidR="004134C2">
        <w:t xml:space="preserve"> hvor mange ’slices’ til hver side af det primære søgeresultat, man vil have vist</w:t>
      </w:r>
      <w:r>
        <w:t xml:space="preserve"> og man har også her mulighed for at få vist </w:t>
      </w:r>
      <w:r w:rsidR="004134C2">
        <w:t>et vilkårligt antal tiers indhold side om side med resultatet</w:t>
      </w:r>
    </w:p>
    <w:p w:rsidR="006C370C" w:rsidRDefault="00E7305E">
      <w:r>
        <w:t>Søgemaskinen er i drift og fungere</w:t>
      </w:r>
      <w:r w:rsidR="00CE5E45">
        <w:t>r</w:t>
      </w:r>
      <w:r>
        <w:t>. Der rettes løbende på småfejl efterhånden som de dukker op, men må i det store og hele betegnes som færdig.</w:t>
      </w:r>
    </w:p>
    <w:p w:rsidR="00CE5E45" w:rsidRDefault="00CE5E45">
      <w:r>
        <w:t xml:space="preserve">Der er ikke udført nogen formel kvalitetskontrol/afleveringsforretning, men dog et større code-review for ca. et år siden. </w:t>
      </w:r>
      <w:r>
        <w:br/>
        <w:t xml:space="preserve">Det skal også bemærkes, at søgemaskinen *er* testet ’i drift’ således at brugerne (forskerne) løbende har udført kvalitetskontroller i og med at de har haft holdt søgemaskinens resultater op imod indholdet af .TextGrid-filerne. </w:t>
      </w:r>
      <w:r>
        <w:br/>
        <w:t>Der er ikke i den forbindelse fundet fejl, der vil kræve store omkodninger eller ændringer i programmet i øvrigt.</w:t>
      </w:r>
    </w:p>
    <w:p w:rsidR="00E7305E" w:rsidRDefault="00E7305E">
      <w:r>
        <w:t>Bemærk dog, at ingen dele af systemet er lavet som en webservice og således ikke uden yderligere kodning/programmering kan integreres med DK Clarin’s portal i øvrigt</w:t>
      </w:r>
      <w:r w:rsidR="00CE5E45">
        <w:t xml:space="preserve">. Integration med DK Clarin </w:t>
      </w:r>
      <w:r>
        <w:t xml:space="preserve">kan </w:t>
      </w:r>
      <w:r w:rsidR="00CE5E45">
        <w:t xml:space="preserve">ikke </w:t>
      </w:r>
      <w:r>
        <w:t>ske førend DK Clarin’s WP5 leverer snitfladespecifikationer til deres webservice-arkitektur.</w:t>
      </w:r>
      <w:r w:rsidR="007B2429">
        <w:t xml:space="preserve"> Der er afleveret uddybende notat (Bilag 1) herom </w:t>
      </w:r>
      <w:r w:rsidR="007B2429">
        <w:rPr>
          <w:rFonts w:ascii="Arial" w:hAnsi="Arial" w:cs="Arial"/>
          <w:sz w:val="20"/>
          <w:szCs w:val="20"/>
        </w:rPr>
        <w:t>til WP5 v. Lene Offersgaard mandag d. 18.1</w:t>
      </w:r>
      <w:r w:rsidR="00817F18">
        <w:rPr>
          <w:rFonts w:ascii="Arial" w:hAnsi="Arial" w:cs="Arial"/>
          <w:sz w:val="20"/>
          <w:szCs w:val="20"/>
        </w:rPr>
        <w:t>.2010.</w:t>
      </w:r>
    </w:p>
    <w:p w:rsidR="006C370C" w:rsidRDefault="006C370C" w:rsidP="006C370C">
      <w:pPr>
        <w:pStyle w:val="Billedtekst"/>
        <w:keepNext/>
      </w:pPr>
      <w:r>
        <w:t xml:space="preserve">Figur </w:t>
      </w:r>
      <w:fldSimple w:instr=" SEQ Figur \* ARABIC ">
        <w:r w:rsidR="00254EFD">
          <w:rPr>
            <w:noProof/>
          </w:rPr>
          <w:t>1</w:t>
        </w:r>
      </w:fldSimple>
      <w:r>
        <w:t>: Søgemaskinens brugergrænseflade</w:t>
      </w:r>
    </w:p>
    <w:p w:rsidR="00FD3CF1" w:rsidRDefault="00FD3CF1">
      <w:r w:rsidRPr="00FD3CF1">
        <w:rPr>
          <w:noProof/>
          <w:lang w:eastAsia="da-DK"/>
        </w:rPr>
        <w:drawing>
          <wp:inline distT="0" distB="0" distL="0" distR="0">
            <wp:extent cx="5591175" cy="5664024"/>
            <wp:effectExtent l="19050" t="0" r="9525" b="0"/>
            <wp:docPr id="13" name="Bille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00" t="33216" r="31726" b="1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664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05E" w:rsidRDefault="00E7305E"/>
    <w:p w:rsidR="00254EFD" w:rsidRDefault="00E7305E" w:rsidP="00254EFD">
      <w:pPr>
        <w:pStyle w:val="Billedtekst"/>
      </w:pPr>
      <w:r>
        <w:t>F</w:t>
      </w:r>
      <w:r w:rsidR="00254EFD">
        <w:t xml:space="preserve">igur </w:t>
      </w:r>
      <w:fldSimple w:instr=" SEQ Figur \* ARABIC ">
        <w:r w:rsidR="00254EFD">
          <w:rPr>
            <w:noProof/>
          </w:rPr>
          <w:t>2</w:t>
        </w:r>
      </w:fldSimple>
      <w:r w:rsidR="00254EFD">
        <w:t>: Simpel resultatvisning med mulighed for dl af csv-fil</w:t>
      </w:r>
      <w:r w:rsidR="006C370C" w:rsidRPr="006C370C">
        <w:rPr>
          <w:noProof/>
          <w:lang w:eastAsia="da-DK"/>
        </w:rPr>
        <w:drawing>
          <wp:inline distT="0" distB="0" distL="0" distR="0">
            <wp:extent cx="4686300" cy="2111918"/>
            <wp:effectExtent l="19050" t="0" r="0" b="0"/>
            <wp:docPr id="16" name="Bille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866" t="44174" r="3577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111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EFD" w:rsidRDefault="00254EFD" w:rsidP="00254EFD">
      <w:pPr>
        <w:pStyle w:val="Billedtekst"/>
      </w:pPr>
      <w:r>
        <w:t xml:space="preserve">Figur </w:t>
      </w:r>
      <w:fldSimple w:instr=" SEQ Figur \* ARABIC ">
        <w:r>
          <w:rPr>
            <w:noProof/>
          </w:rPr>
          <w:t>3</w:t>
        </w:r>
      </w:fldSimple>
      <w:r>
        <w:t>: KWIC-visning af resultat</w:t>
      </w:r>
      <w:r>
        <w:rPr>
          <w:noProof/>
          <w:lang w:eastAsia="da-DK"/>
        </w:rPr>
        <w:drawing>
          <wp:inline distT="0" distB="0" distL="0" distR="0">
            <wp:extent cx="5229225" cy="1992515"/>
            <wp:effectExtent l="19050" t="0" r="952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333" t="32216" r="7465" b="10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99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29" w:rsidRDefault="00E7305E" w:rsidP="007B2429">
      <w:pPr>
        <w:pStyle w:val="Billedtekst"/>
      </w:pPr>
      <w:r>
        <w:t>Figur 4: Indhold af CSV-fil for resultat</w:t>
      </w:r>
    </w:p>
    <w:p w:rsidR="007B2429" w:rsidRDefault="007B2429" w:rsidP="007B2429">
      <w:r>
        <w:rPr>
          <w:noProof/>
        </w:rPr>
      </w:r>
      <w:r w:rsidR="00C9604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83.4pt;height:231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>
            <v:textbox style="mso-next-textbox:#_x0000_s1026">
              <w:txbxContent>
                <w:p w:rsidR="007B2429" w:rsidRDefault="007B2429" w:rsidP="007B2429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7B2429">
                    <w:rPr>
                      <w:rFonts w:ascii="Courier New" w:hAnsi="Courier New" w:cs="Courier New"/>
                      <w:sz w:val="20"/>
                      <w:szCs w:val="20"/>
                    </w:rPr>
                    <w:t>"filename";"project";"recording";"recordingyear";"participant";"gender";"birthyear";"socialclass";"xmin";"Aktivitetstype";"grammatik";"ANmarkering";"phonetic";"ANRmarkering";"events";"parole_PoSRED";"DschwaDmarkering";"ordstil";"Samtaletype";"AMmarkering";"ENGmarkering";"lydskrift";"uncertain transcription";"Genre";"emphasis";"Case";"gramma_II";"W-markering";"IIV SMUL Kommentarer";"parole_PoS";"SH";"IIV AIG Kommentarer";"Udsigelse";"AJmarkering";"Interaktionsstruktur";"Makro-sproghandling";"generisk";"ortografi";"comments";"translation";"global events"</w:t>
                  </w:r>
                </w:p>
                <w:p w:rsidR="00C96046" w:rsidRPr="007B2429" w:rsidRDefault="00C96046" w:rsidP="00C96046">
                  <w:pPr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  <w:r w:rsidRPr="007B2429">
                    <w:rPr>
                      <w:rFonts w:ascii="Courier New" w:hAnsi="Courier New" w:cs="Courier New"/>
                      <w:sz w:val="18"/>
                      <w:szCs w:val="18"/>
                    </w:rPr>
                    <w:t>"bysoc1ny-06-MFL";"bysoc1";"ny";"2006";"MFL";"m";"1959";"MK";"1617,857022";"Asa";"";"";"";"";"";"hestetrailer/N";"";"";"Sieu";"";"";"hestetrailer/h2Esd0tLEJlC";"";"Ggr";"";"";"";"";"";"hestetrailer/NCCPU==I";"";"";"";"";"I8";"Mvi";"";"hestetrailer";"";;</w:t>
                  </w:r>
                </w:p>
                <w:p w:rsidR="00C96046" w:rsidRPr="007B2429" w:rsidRDefault="00C96046" w:rsidP="007B2429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7B2429">
                    <w:rPr>
                      <w:rFonts w:ascii="Courier New" w:hAnsi="Courier New" w:cs="Courier New"/>
                      <w:sz w:val="18"/>
                      <w:szCs w:val="18"/>
                    </w:rPr>
                    <w:t>"naestved3gl-07-DRA";"naestved3";"gl";"2007";"DRA";"m";"1991";"MK";"1403,469";"Asa";"";"";"";"";"";"hestetrailer/N";"";;"Sieu";"";"";"hestetrailer/h2Esd0tLEJlC";"";"";;;"";"";"";"hestetrailer/NCCPU==I";"";;"";"";"";"Mvi";"";"hestetrailer";"";"";""</w:t>
                  </w:r>
                </w:p>
              </w:txbxContent>
            </v:textbox>
            <w10:wrap type="none"/>
            <w10:anchorlock/>
          </v:shape>
        </w:pict>
      </w:r>
    </w:p>
    <w:p w:rsidR="007B2429" w:rsidRDefault="007B2429" w:rsidP="007B2429"/>
    <w:p w:rsidR="007B2429" w:rsidRDefault="00C96046" w:rsidP="007B2429">
      <w:r>
        <w:t>Bilag</w:t>
      </w:r>
    </w:p>
    <w:p w:rsidR="00C96046" w:rsidRDefault="00C96046" w:rsidP="00C96046">
      <w:pPr>
        <w:pStyle w:val="Listeafsnit"/>
        <w:numPr>
          <w:ilvl w:val="0"/>
          <w:numId w:val="6"/>
        </w:numPr>
      </w:pPr>
      <w:r>
        <w:t>Notat v</w:t>
      </w:r>
      <w:r w:rsidRPr="00C96046">
        <w:t>edr. leverance af inputintegreret søgemaskineværktøj til DK CLARIN</w:t>
      </w:r>
    </w:p>
    <w:p w:rsidR="00C96046" w:rsidRDefault="00C96046">
      <w:r>
        <w:br w:type="page"/>
      </w:r>
    </w:p>
    <w:p w:rsidR="00C96046" w:rsidRDefault="00C96046" w:rsidP="00C96046">
      <w:r>
        <w:t xml:space="preserve"> </w:t>
      </w:r>
    </w:p>
    <w:p w:rsidR="00C96046" w:rsidRDefault="00C96046" w:rsidP="00C96046">
      <w:pPr>
        <w:jc w:val="right"/>
      </w:pPr>
      <w:r>
        <w:t>DGCSS, KUA 12.01.2010/MBR</w:t>
      </w:r>
      <w:r>
        <w:br/>
      </w:r>
    </w:p>
    <w:p w:rsidR="00C96046" w:rsidRDefault="00C96046" w:rsidP="00C96046">
      <w:pPr>
        <w:pStyle w:val="Titel"/>
      </w:pPr>
      <w:r>
        <w:t>Notat</w:t>
      </w:r>
    </w:p>
    <w:p w:rsidR="00C96046" w:rsidRPr="007555D4" w:rsidRDefault="00C96046" w:rsidP="00C96046">
      <w:pPr>
        <w:pStyle w:val="Overskrift2"/>
        <w:rPr>
          <w:sz w:val="24"/>
        </w:rPr>
      </w:pPr>
      <w:r w:rsidRPr="007555D4">
        <w:rPr>
          <w:sz w:val="24"/>
        </w:rPr>
        <w:t>Vedr. leverance af inputintegreret søgemaskineværktøj til DK CLARIN</w:t>
      </w:r>
    </w:p>
    <w:p w:rsidR="00C96046" w:rsidRDefault="00C96046" w:rsidP="00C96046">
      <w:r>
        <w:t>Der spørges til, om DGCSS kan levere ”</w:t>
      </w:r>
      <w:r w:rsidRPr="00E028ED">
        <w:t>Søgemaskine i eksp</w:t>
      </w:r>
      <w:r>
        <w:t>o</w:t>
      </w:r>
      <w:r w:rsidRPr="00E028ED">
        <w:t>rtabelt format</w:t>
      </w:r>
      <w:r>
        <w:t>” til DK Clarin i T30.</w:t>
      </w:r>
    </w:p>
    <w:p w:rsidR="00C96046" w:rsidRDefault="00C96046" w:rsidP="00C96046">
      <w:r>
        <w:t>For at svare fyldestgørende på dette spørgsmål , er det nødvendigt at opridse situationen lidt mere detaljeret.</w:t>
      </w:r>
    </w:p>
    <w:p w:rsidR="00C96046" w:rsidRDefault="00C96046" w:rsidP="00C96046">
      <w:r>
        <w:t xml:space="preserve">DGCSS’ søgemaskine er udviklet som en Java Servlet der tilgår en MySQL database og kommunikerer med en bruger vha. en JSP/Javascript frontend: </w:t>
      </w:r>
    </w:p>
    <w:p w:rsidR="00C96046" w:rsidRDefault="00C96046" w:rsidP="00C96046">
      <w:r w:rsidRPr="00622A06">
        <w:rPr>
          <w:noProof/>
          <w:lang w:eastAsia="da-DK"/>
        </w:rPr>
        <w:drawing>
          <wp:inline distT="0" distB="0" distL="0" distR="0">
            <wp:extent cx="1643743" cy="2476500"/>
            <wp:effectExtent l="1905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124" cy="248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2A06">
        <w:t xml:space="preserve"> </w:t>
      </w:r>
    </w:p>
    <w:p w:rsidR="00C96046" w:rsidRDefault="00C96046" w:rsidP="00C96046">
      <w:r>
        <w:t>P.t. afvikles denne arkitektur på en Linux/Tomcat/Apache-platform, men i teorien vil en hvilken som helst platform med en MySQL og en Java Application Server kunne servicere funktionaliteten.</w:t>
      </w:r>
    </w:p>
    <w:p w:rsidR="00C96046" w:rsidRDefault="00C96046" w:rsidP="00C96046">
      <w:r>
        <w:t xml:space="preserve">Der arbejdes i øvrigt på DGCSS med planer, prototyper og tests med henblik på at migrere til en Windows/IIS/.Net -platform. </w:t>
      </w:r>
    </w:p>
    <w:p w:rsidR="00C96046" w:rsidRDefault="00C96046" w:rsidP="00C96046">
      <w:r>
        <w:t xml:space="preserve">Som søgemaskinen har været omtalt i DK Clarin-regi, er den tænkt som et ’input-integreret værktøj’, dvs.  den skal modtage sit input fra DK Clarin-infrastrukturen, mens output i form af søgeresultater ikke er tænkt skal have nogen plads i DK Clarins repositorie. </w:t>
      </w:r>
    </w:p>
    <w:p w:rsidR="00C96046" w:rsidRDefault="00C96046" w:rsidP="00C96046">
      <w:r>
        <w:t>Udvikling kan således først påbegyndes når DGCSS modtager informationer, f.eks. i form af WSDL/WADL-dokumenter, om hvordan DK Clarin vil implementere sin:</w:t>
      </w:r>
    </w:p>
    <w:p w:rsidR="00C96046" w:rsidRPr="00FB55E7" w:rsidRDefault="00C96046" w:rsidP="00C96046">
      <w:pPr>
        <w:pStyle w:val="Listeafsnit"/>
        <w:numPr>
          <w:ilvl w:val="0"/>
          <w:numId w:val="4"/>
        </w:numPr>
      </w:pPr>
      <w:r>
        <w:t xml:space="preserve">Leveringsservice </w:t>
      </w:r>
      <w:r w:rsidRPr="00DC73D3">
        <w:rPr>
          <w:szCs w:val="24"/>
        </w:rPr>
        <w:t>(2.8.4 i ”</w:t>
      </w:r>
      <w:r w:rsidRPr="00552F21">
        <w:t>Clarin kravspec 051009.doc</w:t>
      </w:r>
      <w:r>
        <w:t>”</w:t>
      </w:r>
      <w:r w:rsidRPr="00DC73D3">
        <w:rPr>
          <w:szCs w:val="24"/>
        </w:rPr>
        <w:t xml:space="preserve">) </w:t>
      </w:r>
    </w:p>
    <w:p w:rsidR="00C96046" w:rsidRDefault="00C96046" w:rsidP="00C96046">
      <w:pPr>
        <w:ind w:left="390"/>
      </w:pPr>
      <w:r>
        <w:t xml:space="preserve">og </w:t>
      </w:r>
    </w:p>
    <w:p w:rsidR="00C96046" w:rsidRDefault="00C96046" w:rsidP="00C96046">
      <w:pPr>
        <w:pStyle w:val="Listeafsnit"/>
        <w:numPr>
          <w:ilvl w:val="0"/>
          <w:numId w:val="4"/>
        </w:numPr>
      </w:pPr>
      <w:r>
        <w:t xml:space="preserve">Service til </w:t>
      </w:r>
      <w:r w:rsidRPr="00DC73D3">
        <w:rPr>
          <w:szCs w:val="24"/>
        </w:rPr>
        <w:t>søgning i metadata (ibid. 2.8.2).</w:t>
      </w:r>
      <w:r>
        <w:t xml:space="preserve"> </w:t>
      </w:r>
    </w:p>
    <w:p w:rsidR="00C96046" w:rsidRDefault="00C96046" w:rsidP="00C96046">
      <w:r>
        <w:t>Leveringsservicen skal bruges til at kunne trække tekstressourcer ind i søgemaskinen, mens servicen til søgning i metadata skal bruges til at kunne finde frem til de tekstressourcer og samlinger af samme, brugeren ønsker at søge i.</w:t>
      </w:r>
    </w:p>
    <w:p w:rsidR="00C96046" w:rsidRDefault="00C96046" w:rsidP="00C96046">
      <w:r>
        <w:t>Dertil skal der træffes beslutninger om</w:t>
      </w:r>
    </w:p>
    <w:p w:rsidR="00C96046" w:rsidRDefault="00C96046" w:rsidP="00C96046">
      <w:pPr>
        <w:pStyle w:val="Listeafsnit"/>
        <w:numPr>
          <w:ilvl w:val="0"/>
          <w:numId w:val="3"/>
        </w:numPr>
      </w:pPr>
      <w:r>
        <w:t>hvilket afviklingsmiljø DK Clarin kan stille til rådighed. Det skal bemærkes at DGCSS foretrækker .Net-platformen til afvikling, da det er her DGCSS råder over den største ekspertise, men Java kan også gøre det</w:t>
      </w:r>
    </w:p>
    <w:p w:rsidR="00C96046" w:rsidRDefault="00C96046" w:rsidP="00C96046">
      <w:pPr>
        <w:pStyle w:val="Listeafsnit"/>
        <w:numPr>
          <w:ilvl w:val="0"/>
          <w:numId w:val="3"/>
        </w:numPr>
      </w:pPr>
      <w:r>
        <w:t>om hvorvidt DK Clarins grænseflade til metadatasøgning kan og skal integreres direkte med søgemaskinefunktionaliteten, så det ikke bliver nødvendigt for DGCSS at udvirke sin egen udgave af metadatasøgninger</w:t>
      </w:r>
    </w:p>
    <w:p w:rsidR="00C96046" w:rsidRDefault="00C96046" w:rsidP="00C96046">
      <w:pPr>
        <w:pStyle w:val="Listeafsnit"/>
        <w:numPr>
          <w:ilvl w:val="0"/>
          <w:numId w:val="3"/>
        </w:numPr>
      </w:pPr>
      <w:r>
        <w:t>om hvorvidt sådanne generede søgemaskiner skal gemmes (egtl. registreres vha. et metadataobjekt) i DK Clarin Repositoriet til senere brug og i givet fald, hvordan en sådan funktionalitet skal integreres i DK Clarins brugerflade og arkitektur i øvrigt</w:t>
      </w:r>
    </w:p>
    <w:p w:rsidR="00C96046" w:rsidRDefault="00C96046" w:rsidP="00C96046">
      <w:r>
        <w:t>Mest kritisk for at deadline kan overholdes er altså at få webservicespecifikationerne stillet til rådighed, for uden dem kan arbejdet ikke startes</w:t>
      </w:r>
      <w:r>
        <w:rPr>
          <w:rStyle w:val="Fodnotehenvisning"/>
        </w:rPr>
        <w:footnoteReference w:id="1"/>
      </w:r>
      <w:r>
        <w:t xml:space="preserve">. </w:t>
      </w:r>
    </w:p>
    <w:p w:rsidR="00C96046" w:rsidRDefault="00C96046" w:rsidP="00C96046">
      <w:r>
        <w:t xml:space="preserve">DGCSS kan så dog naturligvis umiddelbart levere en søgemaskine som ekstern ressource til DK-Clarin, der så kun kommer med søgemulighed i DGCSS’ egen leverance af tekstressourcer. </w:t>
      </w:r>
    </w:p>
    <w:p w:rsidR="00C96046" w:rsidRDefault="00C96046" w:rsidP="00C96046">
      <w:r>
        <w:t xml:space="preserve">Bemærk at dette faktisk betyder, at såfremt det dynamisk at skabe en søgemaskine over tekstressourcer fundet vha. </w:t>
      </w:r>
      <w:r w:rsidRPr="00DC73D3">
        <w:rPr>
          <w:szCs w:val="24"/>
        </w:rPr>
        <w:t>søgning i metadata</w:t>
      </w:r>
      <w:r>
        <w:rPr>
          <w:szCs w:val="24"/>
        </w:rPr>
        <w:t xml:space="preserve"> fravælges, så kan DGCSS levere (nogenlunde) lige så mange søgemaskiner som eksterne ressourcer, som man måtte ønske. </w:t>
      </w:r>
      <w:r>
        <w:rPr>
          <w:szCs w:val="24"/>
        </w:rPr>
        <w:br/>
        <w:t>Hver sådan søgemaskine kunne så tilbyde søgninger i en én-gang-for-alle udtrukket samling af tekstressourcer og linkes til fra DK Clarins web-brugergrænseflade.</w:t>
      </w:r>
    </w:p>
    <w:p w:rsidR="00C96046" w:rsidRDefault="00C96046" w:rsidP="00C96046"/>
    <w:p w:rsidR="00C96046" w:rsidRDefault="00C96046" w:rsidP="00C96046">
      <w:r>
        <w:t xml:space="preserve">f. DGCSS, </w:t>
      </w:r>
      <w:r>
        <w:br/>
      </w:r>
      <w:r w:rsidRPr="00816297">
        <w:t>Michael Barner-Rasmussen</w:t>
      </w:r>
      <w:r w:rsidRPr="00816297">
        <w:br/>
      </w:r>
      <w:r>
        <w:rPr>
          <w:rFonts w:eastAsia="Times New Roman"/>
          <w:noProof/>
          <w:color w:val="888888"/>
        </w:rPr>
        <w:t>IT Ansvarlig</w:t>
      </w:r>
      <w:r>
        <w:rPr>
          <w:rFonts w:eastAsiaTheme="minorEastAsia"/>
          <w:noProof/>
          <w:color w:val="888888"/>
        </w:rPr>
        <w:br/>
      </w:r>
      <w:r>
        <w:rPr>
          <w:rFonts w:eastAsia="Times New Roman"/>
          <w:noProof/>
          <w:color w:val="888888"/>
        </w:rPr>
        <w:t>DGCSS, Nordisk Forskningsinstitut (NFI)</w:t>
      </w:r>
      <w:r>
        <w:rPr>
          <w:rFonts w:eastAsiaTheme="minorEastAsia"/>
          <w:noProof/>
          <w:color w:val="888888"/>
        </w:rPr>
        <w:br/>
      </w:r>
      <w:r>
        <w:rPr>
          <w:rFonts w:eastAsia="Times New Roman"/>
          <w:noProof/>
          <w:color w:val="888888"/>
        </w:rPr>
        <w:t>Njalsgade 136, lok. 27.5.61</w:t>
      </w:r>
      <w:r>
        <w:rPr>
          <w:rFonts w:eastAsiaTheme="minorEastAsia"/>
          <w:noProof/>
          <w:color w:val="888888"/>
        </w:rPr>
        <w:br/>
      </w:r>
      <w:r>
        <w:rPr>
          <w:rFonts w:eastAsia="Times New Roman"/>
          <w:noProof/>
          <w:color w:val="888888"/>
        </w:rPr>
        <w:t>2300 København S</w:t>
      </w:r>
      <w:r>
        <w:rPr>
          <w:rFonts w:eastAsiaTheme="minorEastAsia"/>
          <w:noProof/>
          <w:color w:val="888888"/>
        </w:rPr>
        <w:br/>
      </w:r>
      <w:r>
        <w:rPr>
          <w:rFonts w:eastAsia="Times New Roman"/>
          <w:noProof/>
          <w:color w:val="888888"/>
        </w:rPr>
        <w:t>Tlf. Institut: 35 32 83 82</w:t>
      </w:r>
      <w:r>
        <w:rPr>
          <w:rFonts w:eastAsiaTheme="minorEastAsia"/>
          <w:noProof/>
          <w:color w:val="888888"/>
        </w:rPr>
        <w:br/>
      </w:r>
      <w:r>
        <w:rPr>
          <w:rFonts w:eastAsia="Times New Roman"/>
          <w:noProof/>
          <w:color w:val="888888"/>
        </w:rPr>
        <w:t xml:space="preserve">Tlf. Direkte: 31 25 31 49 </w:t>
      </w:r>
    </w:p>
    <w:sectPr w:rsidR="00C96046" w:rsidSect="00204877">
      <w:head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CE5" w:rsidRDefault="00FE0CE5" w:rsidP="00FD3CF1">
      <w:pPr>
        <w:spacing w:after="0" w:line="240" w:lineRule="auto"/>
      </w:pPr>
      <w:r>
        <w:separator/>
      </w:r>
    </w:p>
  </w:endnote>
  <w:endnote w:type="continuationSeparator" w:id="0">
    <w:p w:rsidR="00FE0CE5" w:rsidRDefault="00FE0CE5" w:rsidP="00FD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CE5" w:rsidRDefault="00FE0CE5" w:rsidP="00FD3CF1">
      <w:pPr>
        <w:spacing w:after="0" w:line="240" w:lineRule="auto"/>
      </w:pPr>
      <w:r>
        <w:separator/>
      </w:r>
    </w:p>
  </w:footnote>
  <w:footnote w:type="continuationSeparator" w:id="0">
    <w:p w:rsidR="00FE0CE5" w:rsidRDefault="00FE0CE5" w:rsidP="00FD3CF1">
      <w:pPr>
        <w:spacing w:after="0" w:line="240" w:lineRule="auto"/>
      </w:pPr>
      <w:r>
        <w:continuationSeparator/>
      </w:r>
    </w:p>
  </w:footnote>
  <w:footnote w:id="1">
    <w:p w:rsidR="00C96046" w:rsidRDefault="00C96046" w:rsidP="00C96046">
      <w:pPr>
        <w:pStyle w:val="Fodnotetekst"/>
      </w:pPr>
      <w:r>
        <w:rPr>
          <w:rStyle w:val="Fodnotehenvisning"/>
        </w:rPr>
        <w:footnoteRef/>
      </w:r>
      <w:r>
        <w:t xml:space="preserve"> Billedligt talt, kan situationen altså beskrives sådan at hvis de nævnte webservices er postkasser, så kan DGCSS, som i dette billede er postbudet, ikke levere post til Clarin førend Clarin har sat sine postkasser op.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CF1" w:rsidRDefault="00FD3CF1" w:rsidP="00FD3CF1">
    <w:pPr>
      <w:pStyle w:val="Sidehoved"/>
    </w:pPr>
    <w:r>
      <w:t>Michael Barner-Rasmussen, KU-LANCHART. Januar 2010.</w:t>
    </w:r>
  </w:p>
  <w:p w:rsidR="00FD3CF1" w:rsidRDefault="00FD3CF1" w:rsidP="00FD3CF1">
    <w:pPr>
      <w:pStyle w:val="Sidehoved"/>
    </w:pPr>
    <w:r>
      <w:t>WP3.2 - søgemaskine</w:t>
    </w:r>
    <w:r>
      <w:tab/>
    </w:r>
    <w:r>
      <w:tab/>
    </w:r>
    <w:fldSimple w:instr=" PAGE   \* MERGEFORMAT ">
      <w:r w:rsidR="002776FF">
        <w:rPr>
          <w:noProof/>
        </w:rPr>
        <w:t>1</w:t>
      </w:r>
    </w:fldSimple>
  </w:p>
  <w:p w:rsidR="00FD3CF1" w:rsidRDefault="00FD3CF1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92B0A"/>
    <w:multiLevelType w:val="hybridMultilevel"/>
    <w:tmpl w:val="8ED02E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913BC"/>
    <w:multiLevelType w:val="hybridMultilevel"/>
    <w:tmpl w:val="E7A2CEA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55E7F"/>
    <w:multiLevelType w:val="hybridMultilevel"/>
    <w:tmpl w:val="08226382"/>
    <w:lvl w:ilvl="0" w:tplc="040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C067DB5"/>
    <w:multiLevelType w:val="hybridMultilevel"/>
    <w:tmpl w:val="B82AA474"/>
    <w:lvl w:ilvl="0" w:tplc="0406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5DD748F6"/>
    <w:multiLevelType w:val="hybridMultilevel"/>
    <w:tmpl w:val="75CA631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808F9"/>
    <w:multiLevelType w:val="hybridMultilevel"/>
    <w:tmpl w:val="F118EF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CF1"/>
    <w:rsid w:val="00204877"/>
    <w:rsid w:val="00254EFD"/>
    <w:rsid w:val="002776FF"/>
    <w:rsid w:val="00345179"/>
    <w:rsid w:val="0038189E"/>
    <w:rsid w:val="003A7398"/>
    <w:rsid w:val="004134C2"/>
    <w:rsid w:val="00422839"/>
    <w:rsid w:val="00565A87"/>
    <w:rsid w:val="006C370C"/>
    <w:rsid w:val="007A5C66"/>
    <w:rsid w:val="007B2429"/>
    <w:rsid w:val="00817F18"/>
    <w:rsid w:val="00A53E53"/>
    <w:rsid w:val="00AB2349"/>
    <w:rsid w:val="00BB564D"/>
    <w:rsid w:val="00C93069"/>
    <w:rsid w:val="00C96046"/>
    <w:rsid w:val="00CE5E45"/>
    <w:rsid w:val="00D61814"/>
    <w:rsid w:val="00E7305E"/>
    <w:rsid w:val="00F33763"/>
    <w:rsid w:val="00FD3CF1"/>
    <w:rsid w:val="00FE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CF1"/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FD3CF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960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D3CF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D3CF1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FD3CF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idehovedTegn">
    <w:name w:val="Sidehoved Tegn"/>
    <w:basedOn w:val="Standardskrifttypeiafsnit"/>
    <w:link w:val="Sidehoved"/>
    <w:uiPriority w:val="99"/>
    <w:rsid w:val="00FD3CF1"/>
  </w:style>
  <w:style w:type="paragraph" w:styleId="Sidefod">
    <w:name w:val="footer"/>
    <w:basedOn w:val="Normal"/>
    <w:link w:val="SidefodTegn"/>
    <w:uiPriority w:val="99"/>
    <w:semiHidden/>
    <w:unhideWhenUsed/>
    <w:rsid w:val="00FD3CF1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FD3CF1"/>
  </w:style>
  <w:style w:type="character" w:customStyle="1" w:styleId="Overskrift1Tegn">
    <w:name w:val="Overskrift 1 Tegn"/>
    <w:basedOn w:val="Standardskrifttypeiafsnit"/>
    <w:link w:val="Overskrift1"/>
    <w:uiPriority w:val="9"/>
    <w:rsid w:val="00FD3CF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eafsnit">
    <w:name w:val="List Paragraph"/>
    <w:basedOn w:val="Normal"/>
    <w:uiPriority w:val="34"/>
    <w:qFormat/>
    <w:rsid w:val="00FD3CF1"/>
    <w:pPr>
      <w:ind w:left="720"/>
      <w:contextualSpacing/>
    </w:pPr>
  </w:style>
  <w:style w:type="paragraph" w:styleId="Billedtekst">
    <w:name w:val="caption"/>
    <w:basedOn w:val="Normal"/>
    <w:next w:val="Normal"/>
    <w:uiPriority w:val="35"/>
    <w:unhideWhenUsed/>
    <w:qFormat/>
    <w:rsid w:val="006C370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96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C960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C960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C9604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96046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C9604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F6BD-DA1B-4D27-A3E9-2E35B43F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971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Barner-Rasmussen</dc:creator>
  <cp:lastModifiedBy>Michael Barner-Rasmussen</cp:lastModifiedBy>
  <cp:revision>8</cp:revision>
  <dcterms:created xsi:type="dcterms:W3CDTF">2010-01-27T11:08:00Z</dcterms:created>
  <dcterms:modified xsi:type="dcterms:W3CDTF">2010-01-31T17:12:00Z</dcterms:modified>
</cp:coreProperties>
</file>